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F8C4A" w14:textId="600885E5" w:rsidR="001949FD" w:rsidRDefault="001949FD" w:rsidP="00DA1A67">
      <w:pPr>
        <w:bidi/>
        <w:rPr>
          <w:rtl/>
        </w:rPr>
      </w:pPr>
      <w:r w:rsidRPr="008818E7">
        <w:rPr>
          <w:rFonts w:hint="cs"/>
          <w:b/>
          <w:bCs/>
          <w:rtl/>
        </w:rPr>
        <w:t>التاريخ:</w:t>
      </w:r>
      <w:r>
        <w:rPr>
          <w:rFonts w:hint="cs"/>
          <w:rtl/>
        </w:rPr>
        <w:t xml:space="preserve"> س س/س س/س س س س</w:t>
      </w:r>
    </w:p>
    <w:p w14:paraId="5217763B" w14:textId="77777777" w:rsidR="00601556" w:rsidRDefault="00601556" w:rsidP="00DA1A67">
      <w:pPr>
        <w:bidi/>
      </w:pPr>
    </w:p>
    <w:p w14:paraId="7D40A5A5" w14:textId="25168788" w:rsidR="00601556" w:rsidRDefault="007056DA" w:rsidP="0053079C">
      <w:pPr>
        <w:bidi/>
        <w:rPr>
          <w:rtl/>
        </w:rPr>
      </w:pPr>
      <w:r w:rsidRPr="008818E7">
        <w:rPr>
          <w:rFonts w:hint="cs"/>
          <w:b/>
          <w:bCs/>
          <w:rtl/>
        </w:rPr>
        <w:t>العنوان</w:t>
      </w:r>
      <w:r>
        <w:rPr>
          <w:rFonts w:hint="cs"/>
          <w:rtl/>
        </w:rPr>
        <w:t>: ف</w:t>
      </w:r>
      <w:r w:rsidR="001949FD">
        <w:rPr>
          <w:rFonts w:hint="cs"/>
          <w:rtl/>
        </w:rPr>
        <w:t xml:space="preserve">شل مواقع </w:t>
      </w:r>
      <w:r w:rsidR="00FB4F33">
        <w:rPr>
          <w:rFonts w:hint="cs"/>
          <w:rtl/>
        </w:rPr>
        <w:t xml:space="preserve">مراقبة </w:t>
      </w:r>
      <w:r w:rsidR="001949FD">
        <w:rPr>
          <w:rFonts w:hint="cs"/>
          <w:rtl/>
        </w:rPr>
        <w:t>عربات السكك الحديدية (الأجهزة الكاش</w:t>
      </w:r>
      <w:r w:rsidR="001C4CC2">
        <w:rPr>
          <w:rFonts w:hint="cs"/>
          <w:rtl/>
        </w:rPr>
        <w:t xml:space="preserve">فة عن المعدات الخارجة عن المسار </w:t>
      </w:r>
      <w:r w:rsidR="0053079C">
        <w:rPr>
          <w:rFonts w:hint="cs"/>
          <w:rtl/>
        </w:rPr>
        <w:t>أ</w:t>
      </w:r>
      <w:r w:rsidR="00AB3AD5">
        <w:rPr>
          <w:rFonts w:hint="cs"/>
          <w:rtl/>
        </w:rPr>
        <w:t>و</w:t>
      </w:r>
      <w:r w:rsidR="001C4CC2">
        <w:rPr>
          <w:rFonts w:hint="cs"/>
          <w:rtl/>
        </w:rPr>
        <w:t>المسحوبة/</w:t>
      </w:r>
      <w:r w:rsidR="00095838">
        <w:t xml:space="preserve"> </w:t>
      </w:r>
      <w:r w:rsidR="00095838">
        <w:rPr>
          <w:rFonts w:hint="cs"/>
          <w:rtl/>
        </w:rPr>
        <w:t>وأجهزة الكشف</w:t>
      </w:r>
      <w:r>
        <w:rPr>
          <w:rFonts w:hint="cs"/>
          <w:rtl/>
        </w:rPr>
        <w:t xml:space="preserve"> </w:t>
      </w:r>
      <w:r w:rsidR="00FB4F33">
        <w:rPr>
          <w:rFonts w:hint="cs"/>
          <w:rtl/>
        </w:rPr>
        <w:t>عن حرارة</w:t>
      </w:r>
      <w:r w:rsidR="00DA1A67">
        <w:rPr>
          <w:rFonts w:hint="cs"/>
          <w:rtl/>
        </w:rPr>
        <w:t xml:space="preserve"> محور</w:t>
      </w:r>
      <w:r w:rsidR="00FB4F33">
        <w:rPr>
          <w:rFonts w:hint="cs"/>
          <w:rtl/>
        </w:rPr>
        <w:t xml:space="preserve"> العجلات</w:t>
      </w:r>
      <w:r w:rsidR="003A7E6B">
        <w:rPr>
          <w:rFonts w:hint="cs"/>
          <w:rtl/>
        </w:rPr>
        <w:t>)</w:t>
      </w:r>
      <w:r w:rsidR="00DA1A67">
        <w:rPr>
          <w:rFonts w:hint="cs"/>
          <w:rtl/>
        </w:rPr>
        <w:t xml:space="preserve"> </w:t>
      </w:r>
      <w:r w:rsidR="00DA1A67">
        <w:rPr>
          <w:rtl/>
        </w:rPr>
        <w:t>–</w:t>
      </w:r>
      <w:r w:rsidR="00DA1A67">
        <w:rPr>
          <w:rFonts w:hint="cs"/>
          <w:rtl/>
        </w:rPr>
        <w:t xml:space="preserve"> موقع واحد</w:t>
      </w:r>
    </w:p>
    <w:p w14:paraId="341FB8C8" w14:textId="77777777" w:rsidR="00601556" w:rsidRDefault="00601556" w:rsidP="00DA1A67">
      <w:pPr>
        <w:bidi/>
      </w:pPr>
    </w:p>
    <w:p w14:paraId="24F7B5CE" w14:textId="76B582FE" w:rsidR="007056DA" w:rsidRPr="00C83160" w:rsidRDefault="007056DA" w:rsidP="00DA1A6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الوصف</w:t>
      </w:r>
    </w:p>
    <w:p w14:paraId="73B965E5" w14:textId="77777777" w:rsidR="00601556" w:rsidRDefault="00601556" w:rsidP="00DA1A67">
      <w:pPr>
        <w:bidi/>
      </w:pPr>
    </w:p>
    <w:p w14:paraId="1393E90D" w14:textId="640A9040" w:rsidR="007056DA" w:rsidRDefault="007056DA" w:rsidP="00DA1A67">
      <w:pPr>
        <w:bidi/>
        <w:rPr>
          <w:rtl/>
        </w:rPr>
      </w:pPr>
      <w:r>
        <w:rPr>
          <w:rFonts w:hint="cs"/>
          <w:rtl/>
        </w:rPr>
        <w:t>&lt;كتابة تفاصيل التغيير&gt;</w:t>
      </w:r>
    </w:p>
    <w:p w14:paraId="044CD074" w14:textId="5A072171" w:rsidR="007056DA" w:rsidRDefault="007056DA" w:rsidP="0053079C">
      <w:pPr>
        <w:bidi/>
      </w:pPr>
      <w:r>
        <w:rPr>
          <w:rFonts w:hint="cs"/>
          <w:rtl/>
        </w:rPr>
        <w:t xml:space="preserve">تتواجد مواقع مراقبة عربات السكك الحديدية عبر </w:t>
      </w:r>
      <w:r w:rsidR="00DA1A67">
        <w:rPr>
          <w:rFonts w:hint="cs"/>
          <w:rtl/>
        </w:rPr>
        <w:t>شبكة المناطق</w:t>
      </w:r>
      <w:r>
        <w:rPr>
          <w:rFonts w:hint="cs"/>
          <w:rtl/>
        </w:rPr>
        <w:t xml:space="preserve">، </w:t>
      </w:r>
      <w:r w:rsidR="00CF2C8B">
        <w:rPr>
          <w:rFonts w:hint="cs"/>
          <w:rtl/>
        </w:rPr>
        <w:t>وتكون معززة</w:t>
      </w:r>
      <w:r>
        <w:rPr>
          <w:rFonts w:hint="cs"/>
          <w:rtl/>
        </w:rPr>
        <w:t xml:space="preserve"> </w:t>
      </w:r>
      <w:r w:rsidR="00095838">
        <w:rPr>
          <w:rFonts w:hint="cs"/>
          <w:rtl/>
        </w:rPr>
        <w:t>بأجهزة الكشف</w:t>
      </w:r>
      <w:r>
        <w:rPr>
          <w:rFonts w:hint="cs"/>
          <w:rtl/>
        </w:rPr>
        <w:t xml:space="preserve"> عن </w:t>
      </w:r>
      <w:r w:rsidR="00CF2C8B">
        <w:rPr>
          <w:rFonts w:hint="cs"/>
          <w:rtl/>
        </w:rPr>
        <w:t>حرارة</w:t>
      </w:r>
      <w:r w:rsidR="00DA1A67">
        <w:rPr>
          <w:rFonts w:hint="cs"/>
          <w:rtl/>
        </w:rPr>
        <w:t xml:space="preserve"> محور</w:t>
      </w:r>
      <w:r w:rsidR="00CF2C8B">
        <w:rPr>
          <w:rFonts w:hint="cs"/>
          <w:rtl/>
        </w:rPr>
        <w:t xml:space="preserve"> العجلات </w:t>
      </w:r>
      <w:r w:rsidR="00CF2C8B">
        <w:t>(HABD)</w:t>
      </w:r>
      <w:r w:rsidR="00CF2C8B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والأجهزة الكاشفة عن المعدات الخارجة عن المسار </w:t>
      </w:r>
      <w:r w:rsidR="0053079C">
        <w:rPr>
          <w:rFonts w:hint="cs"/>
          <w:rtl/>
        </w:rPr>
        <w:t>أ</w:t>
      </w:r>
      <w:r>
        <w:rPr>
          <w:rFonts w:hint="cs"/>
          <w:rtl/>
        </w:rPr>
        <w:t>و</w:t>
      </w:r>
      <w:r w:rsidR="0053079C">
        <w:rPr>
          <w:rFonts w:hint="cs"/>
          <w:rtl/>
        </w:rPr>
        <w:t xml:space="preserve"> </w:t>
      </w:r>
      <w:r>
        <w:rPr>
          <w:rFonts w:hint="cs"/>
          <w:rtl/>
        </w:rPr>
        <w:t>المسحوب</w:t>
      </w:r>
      <w:r w:rsidR="00CF2C8B">
        <w:rPr>
          <w:rFonts w:hint="cs"/>
          <w:rtl/>
        </w:rPr>
        <w:t xml:space="preserve">ة </w:t>
      </w:r>
      <w:r w:rsidR="00CF2C8B">
        <w:t>(DDED)</w:t>
      </w:r>
      <w:r>
        <w:rPr>
          <w:rFonts w:hint="cs"/>
          <w:rtl/>
        </w:rPr>
        <w:t>. في حالة فشل موقع أو عدد من المواقع ينبغي اتخاذ إجراءات تخفيفية لضمان سلامة عربات السكك الحديدية.</w:t>
      </w:r>
    </w:p>
    <w:p w14:paraId="17D9DA79" w14:textId="77777777" w:rsidR="00601556" w:rsidRDefault="00601556" w:rsidP="00DA1A67">
      <w:pPr>
        <w:bidi/>
      </w:pPr>
    </w:p>
    <w:p w14:paraId="1B9F17C5" w14:textId="77777777" w:rsidR="00601556" w:rsidRDefault="00601556" w:rsidP="00DA1A67">
      <w:pPr>
        <w:bidi/>
      </w:pPr>
    </w:p>
    <w:p w14:paraId="78D6C50A" w14:textId="3A016BBE" w:rsidR="007056DA" w:rsidRDefault="007056DA" w:rsidP="00DA1A67">
      <w:pPr>
        <w:bidi/>
      </w:pPr>
      <w:r>
        <w:rPr>
          <w:rFonts w:hint="cs"/>
          <w:b/>
          <w:bCs/>
          <w:rtl/>
        </w:rPr>
        <w:t>الإجراء المطلوب</w:t>
      </w:r>
    </w:p>
    <w:p w14:paraId="0CF58232" w14:textId="77777777" w:rsidR="00601556" w:rsidRDefault="00601556" w:rsidP="00DA1A67">
      <w:pPr>
        <w:bidi/>
      </w:pPr>
    </w:p>
    <w:p w14:paraId="5A259420" w14:textId="750F2A36" w:rsidR="007056DA" w:rsidRPr="00C7189B" w:rsidRDefault="007056DA" w:rsidP="00DA1A67">
      <w:pPr>
        <w:bidi/>
        <w:rPr>
          <w:u w:val="single"/>
        </w:rPr>
      </w:pPr>
      <w:r>
        <w:rPr>
          <w:rFonts w:hint="cs"/>
          <w:u w:val="single"/>
          <w:rtl/>
        </w:rPr>
        <w:t>فشل مواقع واحد</w:t>
      </w:r>
    </w:p>
    <w:p w14:paraId="5B7E6FC2" w14:textId="77777777" w:rsidR="00601556" w:rsidRDefault="00601556" w:rsidP="00DA1A67">
      <w:pPr>
        <w:bidi/>
      </w:pPr>
    </w:p>
    <w:p w14:paraId="08903A1E" w14:textId="42F2A1A3" w:rsidR="007056DA" w:rsidRDefault="007056DA" w:rsidP="00DA1A67">
      <w:pPr>
        <w:bidi/>
        <w:rPr>
          <w:rtl/>
        </w:rPr>
      </w:pPr>
      <w:r>
        <w:rPr>
          <w:rFonts w:hint="cs"/>
          <w:rtl/>
        </w:rPr>
        <w:t>&lt;كتابة تفاصيل الإجراءات المطلوبة ذات الصلة بالجهة المعنية&gt;</w:t>
      </w:r>
    </w:p>
    <w:p w14:paraId="52DE60E7" w14:textId="29F595A2" w:rsidR="00CF2C8B" w:rsidRDefault="007056DA" w:rsidP="0053079C">
      <w:pPr>
        <w:bidi/>
        <w:rPr>
          <w:rtl/>
        </w:rPr>
      </w:pPr>
      <w:r>
        <w:rPr>
          <w:rFonts w:hint="cs"/>
          <w:rtl/>
        </w:rPr>
        <w:t xml:space="preserve">إذا فشل موقع واحد من مواقع مراقبة عربات السكك الحديدية فلا ينبغي اتخاذ أي إجراء، إلَّا </w:t>
      </w:r>
      <w:r w:rsidR="00420EB3">
        <w:rPr>
          <w:rFonts w:hint="cs"/>
          <w:rtl/>
        </w:rPr>
        <w:t>في حالة</w:t>
      </w:r>
      <w:r>
        <w:rPr>
          <w:rFonts w:hint="cs"/>
          <w:rtl/>
        </w:rPr>
        <w:t xml:space="preserve"> </w:t>
      </w:r>
      <w:r w:rsidR="00AB3AD5">
        <w:rPr>
          <w:rFonts w:hint="cs"/>
          <w:rtl/>
        </w:rPr>
        <w:t>وجود</w:t>
      </w:r>
      <w:r w:rsidR="00CF2C8B">
        <w:rPr>
          <w:rFonts w:hint="cs"/>
          <w:rtl/>
        </w:rPr>
        <w:t xml:space="preserve"> إنذار سابق </w:t>
      </w:r>
      <w:r w:rsidR="00AB3AD5">
        <w:rPr>
          <w:rFonts w:hint="cs"/>
          <w:rtl/>
        </w:rPr>
        <w:t xml:space="preserve">للقطار </w:t>
      </w:r>
      <w:r w:rsidR="00CF2C8B">
        <w:rPr>
          <w:rFonts w:hint="cs"/>
          <w:rtl/>
        </w:rPr>
        <w:t xml:space="preserve">أثناء رحلته </w:t>
      </w:r>
      <w:r w:rsidR="00420EB3">
        <w:rPr>
          <w:rFonts w:hint="cs"/>
          <w:rtl/>
        </w:rPr>
        <w:t xml:space="preserve">صادر </w:t>
      </w:r>
      <w:r w:rsidR="00AB3AD5">
        <w:rPr>
          <w:rFonts w:hint="cs"/>
          <w:rtl/>
        </w:rPr>
        <w:t>ع</w:t>
      </w:r>
      <w:r w:rsidR="00420EB3">
        <w:rPr>
          <w:rFonts w:hint="cs"/>
          <w:rtl/>
        </w:rPr>
        <w:t>ن</w:t>
      </w:r>
      <w:r w:rsidR="00CF2C8B">
        <w:rPr>
          <w:rFonts w:hint="cs"/>
          <w:rtl/>
        </w:rPr>
        <w:t xml:space="preserve"> </w:t>
      </w:r>
      <w:r w:rsidR="00095838">
        <w:rPr>
          <w:rFonts w:hint="cs"/>
          <w:rtl/>
        </w:rPr>
        <w:t xml:space="preserve">أجهزة الكشف </w:t>
      </w:r>
      <w:r w:rsidR="00DA1A67">
        <w:rPr>
          <w:rFonts w:hint="cs"/>
          <w:rtl/>
        </w:rPr>
        <w:t>عن حرارة محور العجلات</w:t>
      </w:r>
      <w:r w:rsidR="00CF2C8B">
        <w:rPr>
          <w:rFonts w:hint="cs"/>
          <w:rtl/>
        </w:rPr>
        <w:t xml:space="preserve"> </w:t>
      </w:r>
      <w:r w:rsidR="00CF2C8B">
        <w:t>(HABD)</w:t>
      </w:r>
      <w:r w:rsidR="00CF2C8B">
        <w:rPr>
          <w:rFonts w:hint="cs"/>
          <w:rtl/>
        </w:rPr>
        <w:t xml:space="preserve"> أو من الأجهزة الكاشفة عن المعدات الخارجة عن المسار </w:t>
      </w:r>
      <w:r w:rsidR="0053079C">
        <w:rPr>
          <w:rFonts w:hint="cs"/>
          <w:rtl/>
        </w:rPr>
        <w:t>أ</w:t>
      </w:r>
      <w:r w:rsidR="00CF2C8B">
        <w:rPr>
          <w:rFonts w:hint="cs"/>
          <w:rtl/>
        </w:rPr>
        <w:t>و</w:t>
      </w:r>
      <w:r w:rsidR="0053079C">
        <w:rPr>
          <w:rFonts w:hint="cs"/>
          <w:rtl/>
        </w:rPr>
        <w:t xml:space="preserve"> </w:t>
      </w:r>
      <w:r w:rsidR="00CF2C8B">
        <w:rPr>
          <w:rFonts w:hint="cs"/>
          <w:rtl/>
        </w:rPr>
        <w:t xml:space="preserve">المسحوبة </w:t>
      </w:r>
      <w:r w:rsidR="00CF2C8B">
        <w:t>(DDED)</w:t>
      </w:r>
      <w:r w:rsidR="00CF2C8B">
        <w:rPr>
          <w:rFonts w:hint="cs"/>
          <w:rtl/>
        </w:rPr>
        <w:t>.</w:t>
      </w:r>
    </w:p>
    <w:p w14:paraId="1B204BC0" w14:textId="418CD544" w:rsidR="00601556" w:rsidRDefault="00CF2C8B" w:rsidP="00DA1A67">
      <w:pPr>
        <w:bidi/>
      </w:pPr>
      <w:r>
        <w:t xml:space="preserve"> </w:t>
      </w:r>
    </w:p>
    <w:p w14:paraId="3C5FFD84" w14:textId="4D7A2897" w:rsidR="00601556" w:rsidRDefault="00DA1A67" w:rsidP="00AB3AD5">
      <w:pPr>
        <w:bidi/>
      </w:pPr>
      <w:r>
        <w:rPr>
          <w:rFonts w:hint="cs"/>
          <w:rtl/>
        </w:rPr>
        <w:t xml:space="preserve">إذا كان </w:t>
      </w:r>
      <w:r w:rsidR="00AB3AD5">
        <w:rPr>
          <w:rFonts w:hint="cs"/>
          <w:rtl/>
        </w:rPr>
        <w:t xml:space="preserve">هناك إنذار سابق </w:t>
      </w:r>
      <w:r>
        <w:rPr>
          <w:rFonts w:hint="cs"/>
          <w:rtl/>
        </w:rPr>
        <w:t>للقطار، فحينها يجب أن يوجه مسؤول القطار السائق بإيقاف القطار في أقرب نقطة عبور، لفحص القطار عن أي دلالات على حرارة محور العجلات أو سحب أحد المعدات أو خروجها عن مسارها.</w:t>
      </w:r>
    </w:p>
    <w:p w14:paraId="498D7FB4" w14:textId="77777777" w:rsidR="00601556" w:rsidRDefault="00601556" w:rsidP="00DA1A67">
      <w:pPr>
        <w:bidi/>
      </w:pPr>
    </w:p>
    <w:p w14:paraId="2B4CB933" w14:textId="0B1D6A7E" w:rsidR="00CF2C8B" w:rsidRDefault="00420EB3" w:rsidP="00DA1A67">
      <w:pPr>
        <w:bidi/>
      </w:pPr>
      <w:r>
        <w:rPr>
          <w:rFonts w:hint="cs"/>
          <w:u w:val="single"/>
          <w:rtl/>
        </w:rPr>
        <w:t>حالتان أو أكثر من فشل الموقع بشكل متتالي</w:t>
      </w:r>
    </w:p>
    <w:p w14:paraId="592E2D71" w14:textId="77777777" w:rsidR="00601556" w:rsidRDefault="00601556" w:rsidP="00DA1A67">
      <w:pPr>
        <w:bidi/>
      </w:pPr>
    </w:p>
    <w:p w14:paraId="5681ED29" w14:textId="0DB975B3" w:rsidR="00CF2C8B" w:rsidRDefault="00CF2C8B" w:rsidP="00DA1A67">
      <w:pPr>
        <w:bidi/>
      </w:pPr>
      <w:r>
        <w:rPr>
          <w:rFonts w:hint="cs"/>
          <w:rtl/>
        </w:rPr>
        <w:t>&lt;كتابة تفاصيل الإجراءات المطلوبة ذات الصلة بالجهة المعنية&gt;</w:t>
      </w:r>
    </w:p>
    <w:p w14:paraId="3B67C28A" w14:textId="6274174C" w:rsidR="00CF2C8B" w:rsidRDefault="00CF2C8B" w:rsidP="00DA1A67">
      <w:pPr>
        <w:bidi/>
      </w:pPr>
      <w:r>
        <w:rPr>
          <w:rFonts w:hint="cs"/>
          <w:rtl/>
        </w:rPr>
        <w:t xml:space="preserve">في </w:t>
      </w:r>
      <w:r w:rsidR="00420EB3">
        <w:rPr>
          <w:rFonts w:hint="cs"/>
          <w:rtl/>
        </w:rPr>
        <w:t>حالة فشل موقعين أو أكثر بشكل متتالي</w:t>
      </w:r>
      <w:r>
        <w:rPr>
          <w:rFonts w:hint="cs"/>
          <w:rtl/>
        </w:rPr>
        <w:t xml:space="preserve"> يجب </w:t>
      </w:r>
      <w:r w:rsidR="00420EB3">
        <w:rPr>
          <w:rFonts w:hint="cs"/>
          <w:rtl/>
        </w:rPr>
        <w:t xml:space="preserve">أن يقوم مسؤول القطار بتوجيه السائق </w:t>
      </w:r>
      <w:r w:rsidR="00C647BD">
        <w:rPr>
          <w:rFonts w:hint="cs"/>
          <w:rtl/>
        </w:rPr>
        <w:t>ب</w:t>
      </w:r>
      <w:r>
        <w:rPr>
          <w:rFonts w:hint="cs"/>
          <w:rtl/>
        </w:rPr>
        <w:t xml:space="preserve">إيقاف القطار في أقرب محطة </w:t>
      </w:r>
      <w:r w:rsidR="00B02810">
        <w:rPr>
          <w:rFonts w:hint="cs"/>
          <w:rtl/>
        </w:rPr>
        <w:t xml:space="preserve">لموقع مراقبة عربات السكك الحديدية (المحطة الثانية والرابعة والسادسة ...إلخ) لفحص القطار </w:t>
      </w:r>
      <w:r w:rsidR="00420EB3">
        <w:rPr>
          <w:rFonts w:hint="cs"/>
          <w:rtl/>
        </w:rPr>
        <w:t xml:space="preserve">من أي دلالات على حرارة محور العجلة أو </w:t>
      </w:r>
      <w:r w:rsidR="00DA1A67">
        <w:rPr>
          <w:rFonts w:hint="cs"/>
          <w:rtl/>
        </w:rPr>
        <w:t>سحب</w:t>
      </w:r>
      <w:r w:rsidR="00420EB3">
        <w:rPr>
          <w:rFonts w:hint="cs"/>
          <w:rtl/>
        </w:rPr>
        <w:t xml:space="preserve"> أحد المعدات أو </w:t>
      </w:r>
      <w:r w:rsidR="00DA1A67">
        <w:rPr>
          <w:rFonts w:hint="cs"/>
          <w:rtl/>
        </w:rPr>
        <w:t>خروجها عن مسارها</w:t>
      </w:r>
      <w:r w:rsidR="00420EB3">
        <w:rPr>
          <w:rFonts w:hint="cs"/>
          <w:rtl/>
        </w:rPr>
        <w:t xml:space="preserve">. </w:t>
      </w:r>
    </w:p>
    <w:p w14:paraId="6D2DD8C8" w14:textId="77777777" w:rsidR="00601556" w:rsidRDefault="00601556" w:rsidP="00DA1A67">
      <w:pPr>
        <w:bidi/>
      </w:pPr>
    </w:p>
    <w:p w14:paraId="12E26F37" w14:textId="77777777" w:rsidR="00601556" w:rsidRDefault="00601556" w:rsidP="00DA1A67">
      <w:pPr>
        <w:bidi/>
      </w:pPr>
    </w:p>
    <w:p w14:paraId="4E399E11" w14:textId="09133B70" w:rsidR="008F358F" w:rsidRDefault="008F358F" w:rsidP="00DA1A67">
      <w:pPr>
        <w:bidi/>
        <w:rPr>
          <w:rtl/>
        </w:rPr>
      </w:pPr>
      <w:r>
        <w:rPr>
          <w:rFonts w:hint="cs"/>
          <w:rtl/>
        </w:rPr>
        <w:t>الخلاصة:</w:t>
      </w:r>
    </w:p>
    <w:p w14:paraId="41DBFEF2" w14:textId="3C968F80" w:rsidR="008F358F" w:rsidRDefault="008F358F" w:rsidP="00DA1A67">
      <w:pPr>
        <w:bidi/>
      </w:pPr>
      <w:r>
        <w:rPr>
          <w:rFonts w:hint="cs"/>
          <w:rtl/>
        </w:rPr>
        <w:t>&lt;</w:t>
      </w:r>
      <w:r w:rsidR="00DA1A67">
        <w:rPr>
          <w:rFonts w:hint="cs"/>
          <w:rtl/>
        </w:rPr>
        <w:t>الإشارة إلى الإجراء المزمع تغييره&gt;</w:t>
      </w:r>
    </w:p>
    <w:p w14:paraId="17D0D554" w14:textId="77777777" w:rsidR="00601556" w:rsidRDefault="00601556" w:rsidP="00DA1A67">
      <w:pPr>
        <w:bidi/>
      </w:pPr>
    </w:p>
    <w:p w14:paraId="775A3C84" w14:textId="3CB18735" w:rsidR="00DA1A67" w:rsidRDefault="00DA1A67" w:rsidP="00DA1A67">
      <w:pPr>
        <w:bidi/>
        <w:rPr>
          <w:rtl/>
        </w:rPr>
      </w:pPr>
      <w:r>
        <w:rPr>
          <w:rFonts w:hint="cs"/>
          <w:rtl/>
        </w:rPr>
        <w:t>الإجراء س س س-س س س-س س س</w:t>
      </w:r>
    </w:p>
    <w:p w14:paraId="7A14A9BC" w14:textId="399ADDF1" w:rsidR="00DA1A67" w:rsidRDefault="00DA1A67" w:rsidP="00DA1A67">
      <w:pPr>
        <w:bidi/>
      </w:pPr>
      <w:r>
        <w:rPr>
          <w:rFonts w:hint="cs"/>
          <w:rtl/>
        </w:rPr>
        <w:t>هذا تعديل على الإجراء س س س-س س س-س س س وينبغي اتباعه حتى إشعار آخر</w:t>
      </w:r>
    </w:p>
    <w:p w14:paraId="268C8D3D" w14:textId="77777777" w:rsidR="00601556" w:rsidRDefault="00601556" w:rsidP="00DA1A67">
      <w:pPr>
        <w:bidi/>
      </w:pPr>
    </w:p>
    <w:p w14:paraId="7913374C" w14:textId="77777777" w:rsidR="00601556" w:rsidRDefault="00601556" w:rsidP="00DA1A67">
      <w:pPr>
        <w:bidi/>
      </w:pPr>
    </w:p>
    <w:p w14:paraId="713D6328" w14:textId="697EB7F6" w:rsidR="00601556" w:rsidRDefault="00DA1A67" w:rsidP="00DA1A67">
      <w:pPr>
        <w:bidi/>
      </w:pPr>
      <w:r>
        <w:rPr>
          <w:rFonts w:hint="cs"/>
          <w:rtl/>
        </w:rPr>
        <w:t>توقيع:</w:t>
      </w:r>
    </w:p>
    <w:p w14:paraId="5B11DBCF" w14:textId="77777777" w:rsidR="00601556" w:rsidRDefault="00601556" w:rsidP="00DA1A67">
      <w:pPr>
        <w:bidi/>
      </w:pPr>
    </w:p>
    <w:p w14:paraId="572A6BCA" w14:textId="38365277" w:rsidR="00601556" w:rsidRDefault="00DA1A67" w:rsidP="00DA1A67">
      <w:pPr>
        <w:bidi/>
      </w:pPr>
      <w:r>
        <w:rPr>
          <w:rFonts w:hint="cs"/>
          <w:rtl/>
        </w:rPr>
        <w:t>التاريخ:</w:t>
      </w:r>
    </w:p>
    <w:p w14:paraId="11760B30" w14:textId="77777777" w:rsidR="00601556" w:rsidRDefault="00601556" w:rsidP="00DA1A67">
      <w:pPr>
        <w:bidi/>
      </w:pPr>
    </w:p>
    <w:p w14:paraId="7897EC01" w14:textId="1AAEB4C6" w:rsidR="00601556" w:rsidRDefault="00C647BD" w:rsidP="00AD7A56">
      <w:pPr>
        <w:tabs>
          <w:tab w:val="left" w:pos="7370"/>
        </w:tabs>
        <w:bidi/>
      </w:pPr>
      <w:r>
        <w:rPr>
          <w:rFonts w:hint="cs"/>
          <w:rtl/>
        </w:rPr>
        <w:t xml:space="preserve">المسمى </w:t>
      </w:r>
      <w:r w:rsidR="00DA1A67">
        <w:rPr>
          <w:rFonts w:hint="cs"/>
          <w:rtl/>
        </w:rPr>
        <w:t>الوظيفي:</w:t>
      </w:r>
      <w:r w:rsidR="00AD7A56">
        <w:tab/>
      </w:r>
    </w:p>
    <w:p w14:paraId="7745CBB6" w14:textId="77777777" w:rsidR="00601556" w:rsidRDefault="00601556" w:rsidP="00DA1A67">
      <w:pPr>
        <w:bidi/>
        <w:jc w:val="left"/>
      </w:pPr>
    </w:p>
    <w:p w14:paraId="2C13A681" w14:textId="43E4AC52" w:rsidR="00B074D7" w:rsidRPr="00E13EED" w:rsidRDefault="00B074D7" w:rsidP="00DA1A67">
      <w:pPr>
        <w:bidi/>
      </w:pPr>
    </w:p>
    <w:sectPr w:rsidR="00B074D7" w:rsidRPr="00E13EED" w:rsidSect="00AD7A56">
      <w:headerReference w:type="default" r:id="rId11"/>
      <w:footerReference w:type="default" r:id="rId12"/>
      <w:pgSz w:w="11907" w:h="16840" w:code="9"/>
      <w:pgMar w:top="1100" w:right="1134" w:bottom="1077" w:left="1418" w:header="432" w:footer="3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F534" w14:textId="77777777" w:rsidR="00791C97" w:rsidRDefault="00791C97">
      <w:r>
        <w:separator/>
      </w:r>
    </w:p>
    <w:p w14:paraId="14769A0B" w14:textId="77777777" w:rsidR="00791C97" w:rsidRDefault="00791C97"/>
  </w:endnote>
  <w:endnote w:type="continuationSeparator" w:id="0">
    <w:p w14:paraId="19F434C2" w14:textId="77777777" w:rsidR="00791C97" w:rsidRDefault="00791C97">
      <w:r>
        <w:continuationSeparator/>
      </w:r>
    </w:p>
    <w:p w14:paraId="4898B09F" w14:textId="77777777" w:rsidR="00791C97" w:rsidRDefault="00791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AD7A56" w:rsidRDefault="009210BF" w:rsidP="0096398D">
    <w:pPr>
      <w:pStyle w:val="Footer"/>
      <w:jc w:val="left"/>
      <w:rPr>
        <w:sz w:val="16"/>
        <w:szCs w:val="16"/>
      </w:rPr>
    </w:pPr>
  </w:p>
  <w:p w14:paraId="28AE2210" w14:textId="4D4A8844" w:rsidR="009210BF" w:rsidRDefault="00791C97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left"/>
    </w:pPr>
    <w:sdt>
      <w:sdtPr>
        <w:rPr>
          <w:sz w:val="16"/>
          <w:szCs w:val="16"/>
          <w:lang w:val="en-AU"/>
        </w:rPr>
        <w:alias w:val="Subject"/>
        <w:tag w:val=""/>
        <w:id w:val="39108342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13EED">
          <w:rPr>
            <w:sz w:val="16"/>
            <w:szCs w:val="16"/>
            <w:lang w:val="en-AU"/>
          </w:rPr>
          <w:t>EOM-ZO0-TP-00006</w:t>
        </w:r>
        <w:r w:rsidR="00BC2272" w:rsidRPr="00BC2272">
          <w:rPr>
            <w:sz w:val="16"/>
            <w:szCs w:val="16"/>
            <w:lang w:val="en-AU"/>
          </w:rPr>
          <w:t>3</w:t>
        </w:r>
        <w:r w:rsidR="005F688E">
          <w:rPr>
            <w:sz w:val="16"/>
            <w:szCs w:val="16"/>
            <w:lang w:val="en-AU"/>
          </w:rPr>
          <w:t>-AR</w:t>
        </w:r>
        <w:r w:rsidR="00BC2272">
          <w:rPr>
            <w:sz w:val="16"/>
            <w:szCs w:val="16"/>
            <w:lang w:val="en-AU"/>
          </w:rPr>
          <w:t xml:space="preserve"> </w:t>
        </w:r>
        <w:r w:rsidR="00BC2272" w:rsidRPr="00BC2272">
          <w:rPr>
            <w:sz w:val="16"/>
            <w:szCs w:val="16"/>
            <w:lang w:val="en-AU"/>
          </w:rPr>
          <w:t>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171414587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CD73F9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CD73F9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</w:p>
  <w:p w14:paraId="60AB86BA" w14:textId="77777777" w:rsidR="00AD7A56" w:rsidRDefault="00AD7A56" w:rsidP="00AD7A56">
    <w:pPr>
      <w:bidi/>
      <w:jc w:val="left"/>
      <w:rPr>
        <w:rFonts w:ascii="Calibri" w:hAnsi="Calibri" w:cs="Calibri"/>
        <w:sz w:val="12"/>
        <w:szCs w:val="12"/>
        <w:rtl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0C2243CA" w14:textId="77777777" w:rsidR="009210BF" w:rsidRDefault="009210BF" w:rsidP="00AD7A56">
    <w:pPr>
      <w:bidi/>
      <w:jc w:val="left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5A71" w14:textId="77777777" w:rsidR="00791C97" w:rsidRDefault="00791C97">
      <w:r>
        <w:separator/>
      </w:r>
    </w:p>
    <w:p w14:paraId="290F8B4D" w14:textId="77777777" w:rsidR="00791C97" w:rsidRDefault="00791C97"/>
  </w:footnote>
  <w:footnote w:type="continuationSeparator" w:id="0">
    <w:p w14:paraId="7B14B3AF" w14:textId="77777777" w:rsidR="00791C97" w:rsidRDefault="00791C97">
      <w:r>
        <w:continuationSeparator/>
      </w:r>
    </w:p>
    <w:p w14:paraId="643E323D" w14:textId="77777777" w:rsidR="00791C97" w:rsidRDefault="00791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4E50DD14" w:rsidR="009210BF" w:rsidRDefault="005F688E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95BCC7" wp14:editId="4FB5650D">
                <wp:simplePos x="0" y="0"/>
                <wp:positionH relativeFrom="column">
                  <wp:posOffset>-616585</wp:posOffset>
                </wp:positionH>
                <wp:positionV relativeFrom="paragraph">
                  <wp:posOffset>-153670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310D0BA0" w:rsidR="00DA1A67" w:rsidRPr="006A25F8" w:rsidRDefault="00DA1A67" w:rsidP="00F411E4">
          <w:pPr>
            <w:pStyle w:val="CPDocTitle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val="en-GB"/>
            </w:rPr>
            <w:t xml:space="preserve">نموذج </w:t>
          </w:r>
          <w:r w:rsidR="008818E7">
            <w:rPr>
              <w:rFonts w:hint="cs"/>
              <w:kern w:val="32"/>
              <w:sz w:val="24"/>
              <w:szCs w:val="24"/>
              <w:rtl/>
              <w:lang w:val="en-GB"/>
            </w:rPr>
            <w:t xml:space="preserve">إشعار </w:t>
          </w:r>
          <w:r w:rsidR="00CD73F9">
            <w:rPr>
              <w:rFonts w:hint="cs"/>
              <w:kern w:val="32"/>
              <w:sz w:val="24"/>
              <w:szCs w:val="24"/>
              <w:rtl/>
              <w:lang w:val="en-GB"/>
            </w:rPr>
            <w:t>ب</w:t>
          </w:r>
          <w:r>
            <w:rPr>
              <w:rFonts w:hint="cs"/>
              <w:kern w:val="32"/>
              <w:sz w:val="24"/>
              <w:szCs w:val="24"/>
              <w:rtl/>
              <w:lang w:val="en-GB"/>
            </w:rPr>
            <w:t>تغيير الإجراء</w:t>
          </w:r>
        </w:p>
      </w:tc>
    </w:tr>
  </w:tbl>
  <w:p w14:paraId="0FE4F66F" w14:textId="2C76380C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812CF9"/>
    <w:multiLevelType w:val="hybridMultilevel"/>
    <w:tmpl w:val="1758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0603F"/>
    <w:multiLevelType w:val="hybridMultilevel"/>
    <w:tmpl w:val="5332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2BF"/>
    <w:multiLevelType w:val="hybridMultilevel"/>
    <w:tmpl w:val="13FA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E2599"/>
    <w:multiLevelType w:val="hybridMultilevel"/>
    <w:tmpl w:val="1B6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0F57"/>
    <w:multiLevelType w:val="hybridMultilevel"/>
    <w:tmpl w:val="7A68820A"/>
    <w:lvl w:ilvl="0" w:tplc="16227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9746315"/>
    <w:multiLevelType w:val="hybridMultilevel"/>
    <w:tmpl w:val="CE7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25DF"/>
    <w:multiLevelType w:val="hybridMultilevel"/>
    <w:tmpl w:val="192E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63D18"/>
    <w:multiLevelType w:val="hybridMultilevel"/>
    <w:tmpl w:val="0F104F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92403"/>
    <w:multiLevelType w:val="hybridMultilevel"/>
    <w:tmpl w:val="9BFA67B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"/>
  </w:num>
  <w:num w:numId="5">
    <w:abstractNumId w:val="7"/>
  </w:num>
  <w:num w:numId="6">
    <w:abstractNumId w:val="23"/>
  </w:num>
  <w:num w:numId="7">
    <w:abstractNumId w:val="16"/>
  </w:num>
  <w:num w:numId="8">
    <w:abstractNumId w:val="3"/>
  </w:num>
  <w:num w:numId="9">
    <w:abstractNumId w:val="25"/>
  </w:num>
  <w:num w:numId="10">
    <w:abstractNumId w:val="23"/>
    <w:lvlOverride w:ilvl="0">
      <w:startOverride w:val="1"/>
    </w:lvlOverride>
  </w:num>
  <w:num w:numId="11">
    <w:abstractNumId w:val="9"/>
  </w:num>
  <w:num w:numId="12">
    <w:abstractNumId w:val="23"/>
  </w:num>
  <w:num w:numId="13">
    <w:abstractNumId w:val="31"/>
  </w:num>
  <w:num w:numId="14">
    <w:abstractNumId w:val="35"/>
  </w:num>
  <w:num w:numId="15">
    <w:abstractNumId w:val="0"/>
  </w:num>
  <w:num w:numId="16">
    <w:abstractNumId w:val="33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7"/>
  </w:num>
  <w:num w:numId="22">
    <w:abstractNumId w:val="11"/>
  </w:num>
  <w:num w:numId="23">
    <w:abstractNumId w:val="1"/>
  </w:num>
  <w:num w:numId="24">
    <w:abstractNumId w:val="32"/>
  </w:num>
  <w:num w:numId="25">
    <w:abstractNumId w:val="4"/>
  </w:num>
  <w:num w:numId="26">
    <w:abstractNumId w:val="5"/>
  </w:num>
  <w:num w:numId="27">
    <w:abstractNumId w:val="19"/>
  </w:num>
  <w:num w:numId="28">
    <w:abstractNumId w:val="27"/>
  </w:num>
  <w:num w:numId="29">
    <w:abstractNumId w:val="8"/>
  </w:num>
  <w:num w:numId="30">
    <w:abstractNumId w:val="10"/>
  </w:num>
  <w:num w:numId="31">
    <w:abstractNumId w:val="34"/>
  </w:num>
  <w:num w:numId="32">
    <w:abstractNumId w:val="3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4"/>
  </w:num>
  <w:num w:numId="47">
    <w:abstractNumId w:val="22"/>
  </w:num>
  <w:num w:numId="48">
    <w:abstractNumId w:val="6"/>
  </w:num>
  <w:num w:numId="49">
    <w:abstractNumId w:val="28"/>
  </w:num>
  <w:num w:numId="5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1E7C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38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5BB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49FD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CC2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28C0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492B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A7E6B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B7C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EB3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3CC5"/>
    <w:rsid w:val="00526781"/>
    <w:rsid w:val="0053079C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88E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5F8B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6DA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1C97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4C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18E7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58F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AD5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D7A56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2810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7A0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47BD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3F9"/>
    <w:rsid w:val="00CD763B"/>
    <w:rsid w:val="00CE1213"/>
    <w:rsid w:val="00CE1A6F"/>
    <w:rsid w:val="00CE1D2D"/>
    <w:rsid w:val="00CF1AB9"/>
    <w:rsid w:val="00CF2C8B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1A6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4F33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28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28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28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7CB9A-FE43-47BE-857E-70122CAE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1228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1573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EOM-ZO0-TP-000063-AR Rev 000</dc:subject>
  <dc:creator>Rivamonte, Leonnito (RMP)</dc:creator>
  <cp:keywords>ᅟ</cp:keywords>
  <cp:lastModifiedBy>جانسيل سالدانا  Jancil Saldhana</cp:lastModifiedBy>
  <cp:revision>14</cp:revision>
  <cp:lastPrinted>2017-10-17T10:11:00Z</cp:lastPrinted>
  <dcterms:created xsi:type="dcterms:W3CDTF">2020-03-12T08:42:00Z</dcterms:created>
  <dcterms:modified xsi:type="dcterms:W3CDTF">2021-12-19T08:09:00Z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